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88F7F" w14:textId="77777777" w:rsidR="001F464D" w:rsidRDefault="001F464D" w:rsidP="00ED4A81">
      <w:pPr>
        <w:pStyle w:val="GPSSchTitleandNumber"/>
        <w:tabs>
          <w:tab w:val="left" w:pos="5715"/>
        </w:tabs>
        <w:jc w:val="left"/>
        <w:rPr>
          <w:rFonts w:cs="Arial"/>
          <w:caps w:val="0"/>
          <w:sz w:val="36"/>
          <w:szCs w:val="36"/>
        </w:rPr>
      </w:pPr>
    </w:p>
    <w:p w14:paraId="6B588F80"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6B588F8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B588F8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B588F83"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B588F84" w14:textId="77777777" w:rsidR="006F181E" w:rsidRPr="00B43A6A" w:rsidRDefault="006F181E" w:rsidP="008C6C15">
      <w:pPr>
        <w:spacing w:after="0"/>
        <w:rPr>
          <w:rFonts w:ascii="Arial" w:eastAsia="Calibri" w:hAnsi="Arial" w:cs="Arial"/>
          <w:color w:val="000000"/>
          <w:sz w:val="24"/>
          <w:szCs w:val="24"/>
          <w:lang w:eastAsia="en-GB"/>
        </w:rPr>
      </w:pPr>
    </w:p>
    <w:p w14:paraId="6B588F85"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6B588F8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B588F87"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6B588F88"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6B588F89" w14:textId="77777777" w:rsidR="006F181E" w:rsidRDefault="006F181E" w:rsidP="00B43A6A">
      <w:pPr>
        <w:spacing w:after="0"/>
        <w:rPr>
          <w:rFonts w:ascii="Arial" w:eastAsia="Calibri" w:hAnsi="Arial" w:cs="Arial"/>
          <w:color w:val="000000"/>
          <w:sz w:val="24"/>
          <w:szCs w:val="24"/>
          <w:lang w:eastAsia="en-GB"/>
        </w:rPr>
      </w:pPr>
    </w:p>
    <w:p w14:paraId="6B588F8A" w14:textId="77777777" w:rsidR="00ED4A81" w:rsidRPr="00B43A6A" w:rsidRDefault="00ED4A81" w:rsidP="00B43A6A">
      <w:pPr>
        <w:spacing w:after="0"/>
        <w:rPr>
          <w:rFonts w:ascii="Arial" w:eastAsia="Calibri" w:hAnsi="Arial" w:cs="Arial"/>
          <w:color w:val="000000"/>
          <w:sz w:val="24"/>
          <w:szCs w:val="24"/>
          <w:lang w:eastAsia="en-GB"/>
        </w:rPr>
      </w:pPr>
    </w:p>
    <w:p w14:paraId="6B588F8B"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p w14:paraId="6B588F8E" w14:textId="379A8612" w:rsidR="00A91395" w:rsidRPr="00B43A6A" w:rsidRDefault="003D4B63" w:rsidP="00B43A6A">
      <w:pPr>
        <w:tabs>
          <w:tab w:val="left" w:pos="1251"/>
        </w:tabs>
        <w:rPr>
          <w:rFonts w:ascii="Arial" w:hAnsi="Arial" w:cs="Arial"/>
          <w:sz w:val="24"/>
          <w:szCs w:val="24"/>
        </w:rPr>
      </w:pPr>
      <w:bookmarkStart w:id="0" w:name="bmCompoundReference"/>
      <w:bookmarkEnd w:id="0"/>
      <w:r w:rsidRPr="003D4B63">
        <w:rPr>
          <w:rFonts w:ascii="Arial" w:hAnsi="Arial" w:cs="Arial"/>
          <w:sz w:val="24"/>
          <w:szCs w:val="24"/>
        </w:rPr>
        <w:t>Transparency reports are to be published within 90 days of contract award. This is in line with Crown Commercial Service Ops procedure. These reports will be agreed with the supplier and the Contracting Authority before release.</w:t>
      </w:r>
      <w:bookmarkStart w:id="1" w:name="_GoBack"/>
      <w:bookmarkEnd w:id="1"/>
    </w:p>
    <w:sectPr w:rsidR="00A91395"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88F91" w14:textId="77777777" w:rsidR="00401E55" w:rsidRDefault="00401E55">
      <w:pPr>
        <w:spacing w:after="0" w:line="240" w:lineRule="auto"/>
      </w:pPr>
      <w:r>
        <w:separator/>
      </w:r>
    </w:p>
  </w:endnote>
  <w:endnote w:type="continuationSeparator" w:id="0">
    <w:p w14:paraId="6B588F92" w14:textId="77777777" w:rsidR="00401E55" w:rsidRDefault="00401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8F97"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6B588F98"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 xml:space="preserve">Framework Ref: </w:t>
    </w:r>
    <w:r w:rsidR="00A62CFA" w:rsidRPr="00A62CFA">
      <w:rPr>
        <w:rFonts w:ascii="Arial" w:hAnsi="Arial" w:cs="Arial"/>
        <w:sz w:val="20"/>
      </w:rPr>
      <w:t>RM6143</w:t>
    </w:r>
    <w:r w:rsidRPr="00C77BC3">
      <w:rPr>
        <w:rFonts w:ascii="Arial" w:hAnsi="Arial" w:cs="Arial"/>
        <w:sz w:val="20"/>
      </w:rPr>
      <w:tab/>
      <w:t xml:space="preserve">                                           </w:t>
    </w:r>
  </w:p>
  <w:p w14:paraId="6B588F99" w14:textId="02CEE9D8"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90387B">
      <w:rPr>
        <w:rFonts w:ascii="Arial" w:hAnsi="Arial" w:cs="Arial"/>
        <w:noProof/>
        <w:sz w:val="20"/>
      </w:rPr>
      <w:t>2</w:t>
    </w:r>
    <w:r w:rsidR="00E149D4" w:rsidRPr="00C77BC3">
      <w:rPr>
        <w:rFonts w:ascii="Arial" w:hAnsi="Arial" w:cs="Arial"/>
        <w:noProof/>
        <w:sz w:val="20"/>
      </w:rPr>
      <w:fldChar w:fldCharType="end"/>
    </w:r>
  </w:p>
  <w:p w14:paraId="6B588F9A"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8FA0"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6B588FA1"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B588FA2"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6B588FA3"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88F8F" w14:textId="77777777" w:rsidR="00401E55" w:rsidRDefault="00401E55">
      <w:pPr>
        <w:spacing w:after="0" w:line="240" w:lineRule="auto"/>
      </w:pPr>
      <w:r>
        <w:separator/>
      </w:r>
    </w:p>
  </w:footnote>
  <w:footnote w:type="continuationSeparator" w:id="0">
    <w:p w14:paraId="6B588F90" w14:textId="77777777" w:rsidR="00401E55" w:rsidRDefault="00401E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8F93" w14:textId="77777777" w:rsidR="006F181E" w:rsidRPr="001107CA" w:rsidRDefault="00A044CC">
    <w:pPr>
      <w:pStyle w:val="Header"/>
      <w:rPr>
        <w:rFonts w:ascii="Arial" w:hAnsi="Arial" w:cs="Arial"/>
      </w:rPr>
    </w:pPr>
    <w:r w:rsidRPr="001107CA">
      <w:rPr>
        <w:rFonts w:ascii="Arial" w:hAnsi="Arial" w:cs="Arial"/>
        <w:b/>
      </w:rPr>
      <w:t>Call-Off Schedule 1 (Transparency Reports)</w:t>
    </w:r>
  </w:p>
  <w:p w14:paraId="6B588F94" w14:textId="77777777" w:rsidR="004E540A" w:rsidRPr="001107CA" w:rsidRDefault="004E540A" w:rsidP="004E540A">
    <w:pPr>
      <w:pStyle w:val="Header"/>
      <w:rPr>
        <w:rFonts w:ascii="Arial" w:hAnsi="Arial" w:cs="Arial"/>
      </w:rPr>
    </w:pPr>
    <w:r w:rsidRPr="001107CA">
      <w:rPr>
        <w:rFonts w:ascii="Arial" w:hAnsi="Arial" w:cs="Arial"/>
      </w:rPr>
      <w:t xml:space="preserve">Call-Off Ref: </w:t>
    </w:r>
    <w:r w:rsidR="001107CA" w:rsidRPr="001107CA">
      <w:rPr>
        <w:rFonts w:ascii="Arial" w:hAnsi="Arial" w:cs="Arial"/>
      </w:rPr>
      <w:t>CCZJ20A07</w:t>
    </w:r>
  </w:p>
  <w:p w14:paraId="6B588F95" w14:textId="77777777" w:rsidR="006F181E" w:rsidRPr="001107CA" w:rsidRDefault="00A044CC">
    <w:pPr>
      <w:pStyle w:val="Header"/>
      <w:rPr>
        <w:rFonts w:ascii="Arial" w:hAnsi="Arial" w:cs="Arial"/>
        <w:lang w:eastAsia="en-GB"/>
      </w:rPr>
    </w:pPr>
    <w:r w:rsidRPr="001107CA">
      <w:rPr>
        <w:rFonts w:ascii="Arial" w:hAnsi="Arial" w:cs="Arial"/>
      </w:rPr>
      <w:t>Crown Copyright</w:t>
    </w:r>
    <w:r w:rsidRPr="001107CA">
      <w:rPr>
        <w:rFonts w:ascii="Arial" w:hAnsi="Arial" w:cs="Arial"/>
        <w:lang w:eastAsia="en-GB"/>
      </w:rPr>
      <w:t xml:space="preserve"> </w:t>
    </w:r>
    <w:r w:rsidR="004E540A" w:rsidRPr="001107CA">
      <w:rPr>
        <w:rFonts w:ascii="Arial" w:hAnsi="Arial" w:cs="Arial"/>
        <w:lang w:eastAsia="en-GB"/>
      </w:rPr>
      <w:t>2018</w:t>
    </w:r>
  </w:p>
  <w:p w14:paraId="6B588F96"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8F9B"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6B588F9C"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6B588F9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6B588F9E" w14:textId="77777777" w:rsidR="004F51B1" w:rsidRDefault="004F51B1">
    <w:pPr>
      <w:pStyle w:val="Header"/>
      <w:rPr>
        <w:rStyle w:val="Emphasis"/>
        <w:noProof/>
        <w:lang w:eastAsia="en-GB"/>
      </w:rPr>
    </w:pPr>
  </w:p>
  <w:p w14:paraId="6B588F9F"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07CA"/>
    <w:rsid w:val="00111292"/>
    <w:rsid w:val="001F464D"/>
    <w:rsid w:val="003A518A"/>
    <w:rsid w:val="003D4B63"/>
    <w:rsid w:val="00401E55"/>
    <w:rsid w:val="004E540A"/>
    <w:rsid w:val="004F51B1"/>
    <w:rsid w:val="005E2B6D"/>
    <w:rsid w:val="0064160E"/>
    <w:rsid w:val="00671FE9"/>
    <w:rsid w:val="006F181E"/>
    <w:rsid w:val="006F4A58"/>
    <w:rsid w:val="0083290D"/>
    <w:rsid w:val="00874232"/>
    <w:rsid w:val="00882CAC"/>
    <w:rsid w:val="008C6C15"/>
    <w:rsid w:val="0090387B"/>
    <w:rsid w:val="00A044CC"/>
    <w:rsid w:val="00A571AE"/>
    <w:rsid w:val="00A62CFA"/>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B588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2021-02-08T12:39:00Z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